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7" w:rsidRPr="00196C80" w:rsidRDefault="00972B37" w:rsidP="00F76C7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Утверждено </w:t>
      </w:r>
    </w:p>
    <w:p w:rsidR="00972B37" w:rsidRDefault="00972B37" w:rsidP="004D10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Татарстанского регионального </w:t>
      </w:r>
    </w:p>
    <w:p w:rsidR="00972B37" w:rsidRDefault="00972B37" w:rsidP="004D10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отделения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Общероссийской общественной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«Ассоциация юристов России» </w:t>
      </w:r>
    </w:p>
    <w:p w:rsidR="004D1010" w:rsidRDefault="00972B37" w:rsidP="004D1010">
      <w:pPr>
        <w:pStyle w:val="a3"/>
        <w:ind w:left="708" w:firstLine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от 20 мая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(в редакции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6C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6C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6C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6C8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от 14.07.2015</w:t>
      </w:r>
      <w:r w:rsidR="00196C8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>, от 29.07.2016</w:t>
      </w:r>
      <w:r w:rsidR="00196C80">
        <w:rPr>
          <w:rFonts w:ascii="Times New Roman" w:hAnsi="Times New Roman" w:cs="Times New Roman"/>
          <w:color w:val="000000"/>
          <w:sz w:val="28"/>
          <w:szCs w:val="28"/>
        </w:rPr>
        <w:t xml:space="preserve"> г.,</w:t>
      </w:r>
      <w:r w:rsidR="004D1010">
        <w:rPr>
          <w:rFonts w:ascii="Times New Roman" w:hAnsi="Times New Roman" w:cs="Times New Roman"/>
          <w:color w:val="000000"/>
          <w:sz w:val="28"/>
          <w:szCs w:val="28"/>
        </w:rPr>
        <w:t xml:space="preserve"> от                      </w:t>
      </w:r>
    </w:p>
    <w:p w:rsidR="00972B37" w:rsidRDefault="00196C80" w:rsidP="004D1010">
      <w:pPr>
        <w:pStyle w:val="a3"/>
        <w:ind w:left="708" w:firstLine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18.09.2018 г.)</w:t>
      </w: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1B1AD1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B1AD1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:rsidR="00972B37" w:rsidRPr="001B1AD1" w:rsidRDefault="00972B37" w:rsidP="001B1AD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B1AD1">
        <w:rPr>
          <w:rFonts w:ascii="Times New Roman" w:hAnsi="Times New Roman" w:cs="Times New Roman"/>
          <w:b/>
          <w:color w:val="000000"/>
          <w:sz w:val="52"/>
          <w:szCs w:val="52"/>
        </w:rPr>
        <w:t>о юридической премии</w:t>
      </w:r>
    </w:p>
    <w:p w:rsidR="00972B37" w:rsidRPr="001B1AD1" w:rsidRDefault="00972B37" w:rsidP="001B1AD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B1AD1">
        <w:rPr>
          <w:rFonts w:ascii="Times New Roman" w:hAnsi="Times New Roman" w:cs="Times New Roman"/>
          <w:b/>
          <w:color w:val="000000"/>
          <w:sz w:val="52"/>
          <w:szCs w:val="52"/>
        </w:rPr>
        <w:t>Республики Татарстан «Юрист года»</w:t>
      </w: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056F35" w:rsidRDefault="00972B37" w:rsidP="00112965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smartTag w:uri="urn:schemas-microsoft-com:office:smarttags" w:element="place">
        <w:r w:rsidRPr="00056F35">
          <w:rPr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I</w:t>
        </w:r>
        <w:r w:rsidRPr="00056F35">
          <w:rPr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smartTag>
      <w:r w:rsidRPr="00056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1.1.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Юридическая премия Республики Татарстан «Юрист года» (далее – Премия) учреждена Советом Татарстанского регионального отделения Общероссийской общественной организации «Ассоциация юристов России» и является признанием заслуг высококвалифицированных юристов Республики Татарстан.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1.2.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Премия учреждается с целью повышения статуса и престижа профессии юриста, уровня профессионализма в сообществе юристов, выявления специалистов высокой квалификации, формирования правовой культуры.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1.3.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Премия присуждается гражданам Российской Федерации, проживающим и осуществляющим свою профессиональную деятельность на территории Республики Татарстан. 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1.4.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Премия присуждается Советом Татарстанского регионального отделения Общероссийской общественной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«Ассоциация юристов России» (д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алее – Совет).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1.5.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В каждой номинации премия присуждается одному соискателю.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1.6.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Премия вручается один раз в год и  не присуждается ее лауреатам повторно.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1.7.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Премия состоит из д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иплома и знака отличия «Юрист года».</w:t>
      </w:r>
      <w:bookmarkStart w:id="0" w:name="sub_1200"/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1.8.</w:t>
      </w:r>
      <w:r w:rsid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На соискание Премии могут выдвигаться лица, имеющие высшее юридическое образование, осуществляющие социально значимую деятельность в области защиты прав человека  и гражданина, юридической науки, юридического образования, правотворчества, а также в иных сферах юридической деятельности Республики Татарстан (Приложение №1).</w:t>
      </w:r>
    </w:p>
    <w:p w:rsidR="00972B37" w:rsidRPr="00F05665" w:rsidRDefault="00972B37" w:rsidP="00E530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1.9. Основными критериями присуждения Премии  являются:</w:t>
      </w:r>
    </w:p>
    <w:p w:rsidR="00972B37" w:rsidRPr="00F05665" w:rsidRDefault="00972B37" w:rsidP="00A654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142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значительный вклад в укрепление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аконности и правопорядка, защита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прав и законных интересов граждан, развитие юридической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правотворчества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правового просвещения в Республике Татарстан;</w:t>
      </w:r>
    </w:p>
    <w:p w:rsidR="00972B37" w:rsidRPr="00F05665" w:rsidRDefault="00972B37" w:rsidP="00A654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2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общественная значимость заслуг в области юриспруденции;</w:t>
      </w:r>
    </w:p>
    <w:p w:rsidR="00972B37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142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значимость деятельности, </w:t>
      </w:r>
      <w:r w:rsidR="001423E5">
        <w:rPr>
          <w:rFonts w:ascii="Times New Roman" w:hAnsi="Times New Roman" w:cs="Times New Roman"/>
          <w:color w:val="000000"/>
          <w:sz w:val="28"/>
          <w:szCs w:val="28"/>
        </w:rPr>
        <w:t>отмеченной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Татарстанским региональным отделением Общероссийской общественной организа</w:t>
      </w:r>
      <w:r w:rsidR="001423E5">
        <w:rPr>
          <w:rFonts w:ascii="Times New Roman" w:hAnsi="Times New Roman" w:cs="Times New Roman"/>
          <w:color w:val="000000"/>
          <w:sz w:val="28"/>
          <w:szCs w:val="28"/>
        </w:rPr>
        <w:t>ции «Ассоциация юристов России»;</w:t>
      </w:r>
    </w:p>
    <w:p w:rsidR="001423E5" w:rsidRPr="00F05665" w:rsidRDefault="001423E5" w:rsidP="001423E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работа по специальности в органах государственной власти, местного самоуправления, прокуратуре, суде, адвокатуре, учебных заведениях, на предприятиях, в учреждениях и организациях не менее 10 лет.  </w:t>
      </w:r>
    </w:p>
    <w:p w:rsidR="00972B37" w:rsidRPr="00F05665" w:rsidRDefault="00972B37" w:rsidP="007B434D">
      <w:pPr>
        <w:pStyle w:val="a9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1.10.Ежегодно присуждается одна премия в каждой из номинаций:</w:t>
      </w: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>«Правовое просвещение»;</w:t>
      </w:r>
    </w:p>
    <w:p w:rsidR="00972B37" w:rsidRPr="00F05665" w:rsidRDefault="00972B37" w:rsidP="007B434D">
      <w:pPr>
        <w:pStyle w:val="a9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>«Правосудие»;</w:t>
      </w:r>
    </w:p>
    <w:p w:rsidR="00972B37" w:rsidRPr="00F05665" w:rsidRDefault="00972B37" w:rsidP="00510000">
      <w:pPr>
        <w:pStyle w:val="a9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bCs/>
          <w:color w:val="000000"/>
          <w:sz w:val="28"/>
          <w:szCs w:val="28"/>
        </w:rPr>
        <w:t>«За преданность юридической профессии»;</w:t>
      </w:r>
    </w:p>
    <w:p w:rsidR="00972B37" w:rsidRPr="00F05665" w:rsidRDefault="00972B37" w:rsidP="00510000">
      <w:pPr>
        <w:pStyle w:val="a9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«За оказание бесплатной юридической помощи»;</w:t>
      </w:r>
    </w:p>
    <w:p w:rsidR="00972B37" w:rsidRPr="00F05665" w:rsidRDefault="00972B37" w:rsidP="00BB5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>«Защита прав и свобод человека и гражданина».</w:t>
      </w:r>
    </w:p>
    <w:p w:rsidR="00972B37" w:rsidRPr="00F05665" w:rsidRDefault="00972B37" w:rsidP="00BB53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7" w:rsidRPr="00FE3876" w:rsidRDefault="00972B37" w:rsidP="007B4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8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E3876">
        <w:rPr>
          <w:rFonts w:ascii="Times New Roman" w:hAnsi="Times New Roman" w:cs="Times New Roman"/>
          <w:b/>
          <w:color w:val="000000"/>
          <w:sz w:val="28"/>
          <w:szCs w:val="28"/>
        </w:rPr>
        <w:t>. Порядок рассмотрения кандидатур, выдвинутых на соискание премии «Юрист года» Республики Татарстан</w:t>
      </w:r>
    </w:p>
    <w:p w:rsidR="00972B37" w:rsidRPr="00F05665" w:rsidRDefault="00972B37" w:rsidP="007B434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2.1.</w:t>
      </w:r>
      <w:r w:rsidR="00057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Право выдвигать кандидатуры на соискание Премии имеют государственные и негосударственные организации, общественные объединения Республики Татарстан, члены Совета Татарстанского  регионального отделения Общероссийской общественной организации «Ассоциация юристов России».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057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Сроки подачи представлений на соискателей премии и прилаг</w:t>
      </w:r>
      <w:r>
        <w:rPr>
          <w:rFonts w:ascii="Times New Roman" w:hAnsi="Times New Roman" w:cs="Times New Roman"/>
          <w:color w:val="000000"/>
          <w:sz w:val="28"/>
          <w:szCs w:val="28"/>
        </w:rPr>
        <w:t>аемых к ним материалов обнародую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тся через средства массовой информации, в том числе на официальном сайте Татарстанского регионального отделения Общероссийской общественной организации «Ассоциация юристов России» </w:t>
      </w:r>
      <w:r w:rsidRPr="006E7E4C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8" w:history="1">
        <w:r w:rsidRPr="006E7E4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E7E4C">
          <w:rPr>
            <w:rStyle w:val="a4"/>
            <w:rFonts w:ascii="Times New Roman" w:hAnsi="Times New Roman"/>
            <w:color w:val="auto"/>
            <w:sz w:val="28"/>
            <w:szCs w:val="28"/>
          </w:rPr>
          <w:t>.alrf16.ru</w:t>
        </w:r>
      </w:hyperlink>
      <w:r w:rsidRPr="006E7E4C">
        <w:rPr>
          <w:rFonts w:ascii="Times New Roman" w:hAnsi="Times New Roman" w:cs="Times New Roman"/>
          <w:sz w:val="28"/>
          <w:szCs w:val="28"/>
        </w:rPr>
        <w:t>)</w:t>
      </w:r>
      <w:r w:rsidRPr="006E7E4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Этот срок устанавливается не менее двух месяцев со дня публикации.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2.3.</w:t>
      </w:r>
      <w:r w:rsidR="00057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Представление на выдвижение кандидата на соис</w:t>
      </w:r>
      <w:r w:rsidR="007E2838">
        <w:rPr>
          <w:rFonts w:ascii="Times New Roman" w:hAnsi="Times New Roman" w:cs="Times New Roman"/>
          <w:color w:val="000000"/>
          <w:sz w:val="28"/>
          <w:szCs w:val="28"/>
        </w:rPr>
        <w:t>кание Премии и прилагаемые к нему</w:t>
      </w:r>
      <w:bookmarkStart w:id="1" w:name="_GoBack"/>
      <w:bookmarkEnd w:id="1"/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направляются в Аппарат  Татарстанского регионального отделения Общероссийской общественной организации «Ассоциация юристов России».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2.4.</w:t>
      </w:r>
      <w:r w:rsidR="00057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Государственные и негосударственные организации, общественные объединения Республики Татарстан, члены Совета Татарстанского регионального отделения Общероссийской общественной организации «Ассоциация юристов России», выдвигающие кандидатуру на соискание Премии, представляют письменное представление, содержащее анкетные сведения о кандидате, информацию о заслугах и основаниях для выдвижения (Приложение №2)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исьменное заявление соискателя  о согласии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на выдвижение кандидатуры в соискатели Премии  (Приложение №3); согласие на обработку персональных да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(Приложение №4); фотографию 4 х 6; копию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паспорта; к</w:t>
      </w:r>
      <w:r>
        <w:rPr>
          <w:rFonts w:ascii="Times New Roman" w:hAnsi="Times New Roman" w:cs="Times New Roman"/>
          <w:color w:val="000000"/>
          <w:sz w:val="28"/>
          <w:szCs w:val="28"/>
        </w:rPr>
        <w:t>опию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книжки (включа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я незаполненные страницы); копию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диплома о высшем образовании и (или) диплом</w:t>
      </w:r>
      <w:r>
        <w:rPr>
          <w:rFonts w:ascii="Times New Roman" w:hAnsi="Times New Roman" w:cs="Times New Roman"/>
          <w:color w:val="000000"/>
          <w:sz w:val="28"/>
          <w:szCs w:val="28"/>
        </w:rPr>
        <w:t>а о присуждении ученой степени; копия билета члена Ассоциации юристов России (кроме соискателей премии в номинации «За преданность юридической профессии»).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2.5.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Аппарат Татарстанского регионального отделения Общероссийской общественной организации «Ассоциация юристов России» оценивает представленную информацию на соответствие требованиям, предъявляемым к кандидатам  на соискание Премии.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2.6.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Представление на соискание Премии и прилагаемые к нему материалы, поданные с нарушением требований, предъявляемым к кандидатам на соискание Премии, возвращаются субъектам, уполномоченным 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ветствии с настоящим Положением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выдвигать кандидатуры на присуждение Премии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 отмеченные нарушения.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2.7.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Представления на соискателей Премии и прилагаемые к ним материалы, объединенные в список соискателей по каждой номинации, направляются Аппаратом Татарстанского регионального отделения непосредственно в Совет Татарстанского регионального отделения Общероссийской общественной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«Ассоциация юристов России» для рассмотрения вопроса о присуждении Премии.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2.8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Заседание Совета считается правомочным, если на нем присутствует не менее двух третей членов Совета.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голосования определяется Советом.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2.9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оглашает результаты предварительного  рассмотрения Аппаратом Татарстанского регионального отделения  Общероссийской общественной организации «Ассоциация Юристов России» представлений на соискателей Премии и прилагаемых к ним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 номинации.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2.10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указанных представлений и материалов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номинации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открыто, путем свободного обмена мнениями. Право на выступление имеет каждый член Совета. </w:t>
      </w:r>
    </w:p>
    <w:p w:rsidR="00972B37" w:rsidRPr="00F05665" w:rsidRDefault="00972B37" w:rsidP="00A6545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2.11.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Премия присуждается соискателю, получившему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двух третей голосов членов Совета, присутствующих на заседании. Если по результатам голосования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число соискателей, получивших не менее двух третей голосов, окажется больше,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  Премия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по кандидатурам таких соискателей проводится второй тур голосования. По результатам второго тура голосования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Премия присуждается соискателю, получившему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наибольшее число голосов членов Совета, присутствующих на заседании, по отношению к другим соискателям.</w:t>
      </w:r>
    </w:p>
    <w:p w:rsidR="00972B37" w:rsidRDefault="00972B37" w:rsidP="00443AF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Решение Совета оформляется протоколом, который подписывается председателем Совета и секретарем Совета.</w:t>
      </w:r>
      <w:bookmarkEnd w:id="0"/>
    </w:p>
    <w:p w:rsidR="00972B37" w:rsidRDefault="00972B37" w:rsidP="00443AF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69" w:rsidRDefault="00E62569" w:rsidP="00443AF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B37" w:rsidRDefault="00972B37" w:rsidP="00443AF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A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Ш. Порядок вручения юридической премии  Республики Татарстан «Юрист года</w:t>
      </w:r>
    </w:p>
    <w:p w:rsidR="00972B37" w:rsidRPr="00443AF5" w:rsidRDefault="00972B37" w:rsidP="00443AF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3.1.</w:t>
      </w:r>
      <w:r w:rsidR="00E62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Церемония вручения Премии проводится в торжественной обстановке с участием руководителей и представителей органов законодательной, исполнительной и судебной властей Республики Татарстан, представителей юридического сообщества Республики Татарстан, а также представителей государственных и негосударственных организаций, выдвинувших кандидатов на соискание Премии.</w:t>
      </w:r>
    </w:p>
    <w:p w:rsidR="00972B37" w:rsidRPr="00F05665" w:rsidRDefault="00972B37" w:rsidP="00A6545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65">
        <w:rPr>
          <w:rFonts w:ascii="Times New Roman" w:hAnsi="Times New Roman" w:cs="Times New Roman"/>
          <w:color w:val="000000"/>
          <w:sz w:val="28"/>
          <w:szCs w:val="28"/>
        </w:rPr>
        <w:tab/>
        <w:t>3.2.</w:t>
      </w:r>
      <w:r w:rsidR="008A5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665">
        <w:rPr>
          <w:rFonts w:ascii="Times New Roman" w:hAnsi="Times New Roman" w:cs="Times New Roman"/>
          <w:color w:val="000000"/>
          <w:sz w:val="28"/>
          <w:szCs w:val="28"/>
        </w:rPr>
        <w:t>Председатель Татарстанского регионального отделения общероссийской общественной организации «Ассоциация юристов России» или лицо по его поручению  вручает лауреатам Премии диплом Премии «Юрист года»  и знак отличия «Юрист года».</w:t>
      </w:r>
    </w:p>
    <w:sectPr w:rsidR="00972B37" w:rsidRPr="00F05665" w:rsidSect="00344EF6">
      <w:footerReference w:type="even" r:id="rId9"/>
      <w:footerReference w:type="default" r:id="rId10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8C" w:rsidRDefault="00DC5C8C" w:rsidP="000D190A">
      <w:pPr>
        <w:spacing w:after="0" w:line="240" w:lineRule="auto"/>
      </w:pPr>
      <w:r>
        <w:separator/>
      </w:r>
    </w:p>
  </w:endnote>
  <w:endnote w:type="continuationSeparator" w:id="0">
    <w:p w:rsidR="00DC5C8C" w:rsidRDefault="00DC5C8C" w:rsidP="000D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37" w:rsidRDefault="00972B37" w:rsidP="00344EF6">
    <w:pPr>
      <w:pStyle w:val="a7"/>
      <w:framePr w:wrap="around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end"/>
    </w:r>
  </w:p>
  <w:p w:rsidR="00972B37" w:rsidRDefault="00972B37" w:rsidP="00B869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37" w:rsidRDefault="00972B37" w:rsidP="00344EF6">
    <w:pPr>
      <w:pStyle w:val="a7"/>
      <w:framePr w:wrap="around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separate"/>
    </w:r>
    <w:r w:rsidR="007E2838">
      <w:rPr>
        <w:rStyle w:val="ac"/>
        <w:rFonts w:cs="Calibri"/>
        <w:noProof/>
      </w:rPr>
      <w:t>3</w:t>
    </w:r>
    <w:r>
      <w:rPr>
        <w:rStyle w:val="ac"/>
        <w:rFonts w:cs="Calibri"/>
      </w:rPr>
      <w:fldChar w:fldCharType="end"/>
    </w:r>
  </w:p>
  <w:p w:rsidR="00972B37" w:rsidRDefault="00972B37" w:rsidP="00B869DC">
    <w:pPr>
      <w:pStyle w:val="a7"/>
      <w:ind w:right="360"/>
      <w:jc w:val="center"/>
    </w:pPr>
  </w:p>
  <w:p w:rsidR="00972B37" w:rsidRDefault="00972B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8C" w:rsidRDefault="00DC5C8C" w:rsidP="000D190A">
      <w:pPr>
        <w:spacing w:after="0" w:line="240" w:lineRule="auto"/>
      </w:pPr>
      <w:r>
        <w:separator/>
      </w:r>
    </w:p>
  </w:footnote>
  <w:footnote w:type="continuationSeparator" w:id="0">
    <w:p w:rsidR="00DC5C8C" w:rsidRDefault="00DC5C8C" w:rsidP="000D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BBC"/>
    <w:multiLevelType w:val="multilevel"/>
    <w:tmpl w:val="4A8077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D1E1D9C"/>
    <w:multiLevelType w:val="hybridMultilevel"/>
    <w:tmpl w:val="5D2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A3F4A"/>
    <w:multiLevelType w:val="multilevel"/>
    <w:tmpl w:val="C9765A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bCs w:val="0"/>
      </w:rPr>
    </w:lvl>
  </w:abstractNum>
  <w:abstractNum w:abstractNumId="3">
    <w:nsid w:val="34BD7620"/>
    <w:multiLevelType w:val="multilevel"/>
    <w:tmpl w:val="EDD21DA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bCs w:val="0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bCs w:val="0"/>
      </w:rPr>
    </w:lvl>
  </w:abstractNum>
  <w:abstractNum w:abstractNumId="4">
    <w:nsid w:val="35B758B3"/>
    <w:multiLevelType w:val="hybridMultilevel"/>
    <w:tmpl w:val="829AD440"/>
    <w:lvl w:ilvl="0" w:tplc="3876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3060"/>
    <w:multiLevelType w:val="multilevel"/>
    <w:tmpl w:val="27F675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CEF6469"/>
    <w:multiLevelType w:val="multilevel"/>
    <w:tmpl w:val="C67AC988"/>
    <w:lvl w:ilvl="0">
      <w:start w:val="2"/>
      <w:numFmt w:val="decimal"/>
      <w:lvlText w:val="%1.0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7">
    <w:nsid w:val="41133844"/>
    <w:multiLevelType w:val="hybridMultilevel"/>
    <w:tmpl w:val="727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82C4F"/>
    <w:multiLevelType w:val="multilevel"/>
    <w:tmpl w:val="C67AC988"/>
    <w:lvl w:ilvl="0">
      <w:start w:val="2"/>
      <w:numFmt w:val="decimal"/>
      <w:lvlText w:val="%1.0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9">
    <w:nsid w:val="52443DCC"/>
    <w:multiLevelType w:val="hybridMultilevel"/>
    <w:tmpl w:val="D78EDF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1584F"/>
    <w:multiLevelType w:val="hybridMultilevel"/>
    <w:tmpl w:val="0A2A4CAC"/>
    <w:lvl w:ilvl="0" w:tplc="3876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463E"/>
    <w:multiLevelType w:val="multilevel"/>
    <w:tmpl w:val="EB501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12">
    <w:nsid w:val="5658385A"/>
    <w:multiLevelType w:val="hybridMultilevel"/>
    <w:tmpl w:val="20884F90"/>
    <w:lvl w:ilvl="0" w:tplc="A7F26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317DF"/>
    <w:multiLevelType w:val="hybridMultilevel"/>
    <w:tmpl w:val="D20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D00878"/>
    <w:multiLevelType w:val="multilevel"/>
    <w:tmpl w:val="36DE6E1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5">
    <w:nsid w:val="65DC7FD5"/>
    <w:multiLevelType w:val="multilevel"/>
    <w:tmpl w:val="D50E08E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color w:val="FF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bCs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bCs w:val="0"/>
        <w:color w:val="FF0000"/>
      </w:rPr>
    </w:lvl>
  </w:abstractNum>
  <w:abstractNum w:abstractNumId="16">
    <w:nsid w:val="669F3ED2"/>
    <w:multiLevelType w:val="hybridMultilevel"/>
    <w:tmpl w:val="720C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F5F60"/>
    <w:multiLevelType w:val="hybridMultilevel"/>
    <w:tmpl w:val="535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64BCB"/>
    <w:multiLevelType w:val="hybridMultilevel"/>
    <w:tmpl w:val="14685F7A"/>
    <w:lvl w:ilvl="0" w:tplc="E638A12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F92C7E"/>
    <w:multiLevelType w:val="hybridMultilevel"/>
    <w:tmpl w:val="2CA87810"/>
    <w:lvl w:ilvl="0" w:tplc="65501BD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591"/>
    <w:rsid w:val="00013202"/>
    <w:rsid w:val="00044C33"/>
    <w:rsid w:val="00056F35"/>
    <w:rsid w:val="00057504"/>
    <w:rsid w:val="00092153"/>
    <w:rsid w:val="000A7B3D"/>
    <w:rsid w:val="000B7613"/>
    <w:rsid w:val="000D0402"/>
    <w:rsid w:val="000D190A"/>
    <w:rsid w:val="000F2736"/>
    <w:rsid w:val="00112965"/>
    <w:rsid w:val="00131A14"/>
    <w:rsid w:val="001423E5"/>
    <w:rsid w:val="0015727B"/>
    <w:rsid w:val="00163A4C"/>
    <w:rsid w:val="001778DF"/>
    <w:rsid w:val="00186BC2"/>
    <w:rsid w:val="00191D7C"/>
    <w:rsid w:val="00196C80"/>
    <w:rsid w:val="001A1D4F"/>
    <w:rsid w:val="001B1AD1"/>
    <w:rsid w:val="001B29D3"/>
    <w:rsid w:val="001E1255"/>
    <w:rsid w:val="001E616D"/>
    <w:rsid w:val="001F380F"/>
    <w:rsid w:val="00202DBF"/>
    <w:rsid w:val="00205BCB"/>
    <w:rsid w:val="00217C93"/>
    <w:rsid w:val="002229C1"/>
    <w:rsid w:val="002351FC"/>
    <w:rsid w:val="00236636"/>
    <w:rsid w:val="0023712B"/>
    <w:rsid w:val="00241526"/>
    <w:rsid w:val="00261584"/>
    <w:rsid w:val="002A5042"/>
    <w:rsid w:val="002C1D88"/>
    <w:rsid w:val="002C6FF3"/>
    <w:rsid w:val="002D6C3B"/>
    <w:rsid w:val="002E4C60"/>
    <w:rsid w:val="00310DD8"/>
    <w:rsid w:val="00316FCF"/>
    <w:rsid w:val="00323EDC"/>
    <w:rsid w:val="00330D25"/>
    <w:rsid w:val="0033288F"/>
    <w:rsid w:val="003433EB"/>
    <w:rsid w:val="00344EF6"/>
    <w:rsid w:val="00362BF8"/>
    <w:rsid w:val="00375678"/>
    <w:rsid w:val="003842EC"/>
    <w:rsid w:val="0039213F"/>
    <w:rsid w:val="00394F09"/>
    <w:rsid w:val="0039541A"/>
    <w:rsid w:val="003A54D0"/>
    <w:rsid w:val="003D4462"/>
    <w:rsid w:val="00404B52"/>
    <w:rsid w:val="00406052"/>
    <w:rsid w:val="004200F5"/>
    <w:rsid w:val="004273D7"/>
    <w:rsid w:val="00441CD0"/>
    <w:rsid w:val="00443AF5"/>
    <w:rsid w:val="00474B2E"/>
    <w:rsid w:val="00480307"/>
    <w:rsid w:val="004B6190"/>
    <w:rsid w:val="004C3927"/>
    <w:rsid w:val="004C5528"/>
    <w:rsid w:val="004D1010"/>
    <w:rsid w:val="004E523E"/>
    <w:rsid w:val="004E73C2"/>
    <w:rsid w:val="00502379"/>
    <w:rsid w:val="00510000"/>
    <w:rsid w:val="005136BA"/>
    <w:rsid w:val="00546F16"/>
    <w:rsid w:val="00563100"/>
    <w:rsid w:val="005927F8"/>
    <w:rsid w:val="00592C0F"/>
    <w:rsid w:val="005A729C"/>
    <w:rsid w:val="005B3BE2"/>
    <w:rsid w:val="005C1748"/>
    <w:rsid w:val="005C55F6"/>
    <w:rsid w:val="005C6D8E"/>
    <w:rsid w:val="005E10D0"/>
    <w:rsid w:val="005E587E"/>
    <w:rsid w:val="00603CB9"/>
    <w:rsid w:val="0062693B"/>
    <w:rsid w:val="00691406"/>
    <w:rsid w:val="006A05EF"/>
    <w:rsid w:val="006D0120"/>
    <w:rsid w:val="006E7E4C"/>
    <w:rsid w:val="006F0007"/>
    <w:rsid w:val="006F7AD6"/>
    <w:rsid w:val="007139D9"/>
    <w:rsid w:val="00766742"/>
    <w:rsid w:val="00775C62"/>
    <w:rsid w:val="007B434D"/>
    <w:rsid w:val="007B7CAF"/>
    <w:rsid w:val="007C452A"/>
    <w:rsid w:val="007C7982"/>
    <w:rsid w:val="007D6F69"/>
    <w:rsid w:val="007E2838"/>
    <w:rsid w:val="007E3D5C"/>
    <w:rsid w:val="007E42B5"/>
    <w:rsid w:val="007F745B"/>
    <w:rsid w:val="00802A1C"/>
    <w:rsid w:val="0080547F"/>
    <w:rsid w:val="008250DC"/>
    <w:rsid w:val="00845AC0"/>
    <w:rsid w:val="00862C93"/>
    <w:rsid w:val="008811A2"/>
    <w:rsid w:val="008A562C"/>
    <w:rsid w:val="008F1289"/>
    <w:rsid w:val="008F7C8F"/>
    <w:rsid w:val="0091537F"/>
    <w:rsid w:val="00922B5A"/>
    <w:rsid w:val="0092595E"/>
    <w:rsid w:val="00927333"/>
    <w:rsid w:val="00933D8B"/>
    <w:rsid w:val="00933DB9"/>
    <w:rsid w:val="00941F45"/>
    <w:rsid w:val="00970639"/>
    <w:rsid w:val="00972B37"/>
    <w:rsid w:val="009D28BE"/>
    <w:rsid w:val="009E0A71"/>
    <w:rsid w:val="009E274D"/>
    <w:rsid w:val="00A22F35"/>
    <w:rsid w:val="00A313EF"/>
    <w:rsid w:val="00A3694B"/>
    <w:rsid w:val="00A65456"/>
    <w:rsid w:val="00AC21BB"/>
    <w:rsid w:val="00AC3880"/>
    <w:rsid w:val="00AD6313"/>
    <w:rsid w:val="00AD67EF"/>
    <w:rsid w:val="00AE3033"/>
    <w:rsid w:val="00B04BF1"/>
    <w:rsid w:val="00B10D14"/>
    <w:rsid w:val="00B50A08"/>
    <w:rsid w:val="00B56821"/>
    <w:rsid w:val="00B64CEF"/>
    <w:rsid w:val="00B774FF"/>
    <w:rsid w:val="00B84CF0"/>
    <w:rsid w:val="00B869DC"/>
    <w:rsid w:val="00BA667D"/>
    <w:rsid w:val="00BB07DD"/>
    <w:rsid w:val="00BB3D28"/>
    <w:rsid w:val="00BB5309"/>
    <w:rsid w:val="00BB6A0E"/>
    <w:rsid w:val="00BC365A"/>
    <w:rsid w:val="00BF1A5B"/>
    <w:rsid w:val="00BF6562"/>
    <w:rsid w:val="00C00FF0"/>
    <w:rsid w:val="00C108AB"/>
    <w:rsid w:val="00C11637"/>
    <w:rsid w:val="00C124FD"/>
    <w:rsid w:val="00C16F61"/>
    <w:rsid w:val="00C20237"/>
    <w:rsid w:val="00C248F1"/>
    <w:rsid w:val="00C24A92"/>
    <w:rsid w:val="00C26AA5"/>
    <w:rsid w:val="00C27FAE"/>
    <w:rsid w:val="00C47582"/>
    <w:rsid w:val="00C47B10"/>
    <w:rsid w:val="00C5425A"/>
    <w:rsid w:val="00C63591"/>
    <w:rsid w:val="00C667CD"/>
    <w:rsid w:val="00C701A3"/>
    <w:rsid w:val="00C7144B"/>
    <w:rsid w:val="00C761E1"/>
    <w:rsid w:val="00C84C74"/>
    <w:rsid w:val="00C929F8"/>
    <w:rsid w:val="00CB0498"/>
    <w:rsid w:val="00CB61C1"/>
    <w:rsid w:val="00CC0E63"/>
    <w:rsid w:val="00D1702C"/>
    <w:rsid w:val="00D17CB1"/>
    <w:rsid w:val="00D42A90"/>
    <w:rsid w:val="00D52C19"/>
    <w:rsid w:val="00D56FC2"/>
    <w:rsid w:val="00D675EE"/>
    <w:rsid w:val="00D8135C"/>
    <w:rsid w:val="00DA2A0E"/>
    <w:rsid w:val="00DB155E"/>
    <w:rsid w:val="00DC1879"/>
    <w:rsid w:val="00DC3B08"/>
    <w:rsid w:val="00DC5C8C"/>
    <w:rsid w:val="00DC6390"/>
    <w:rsid w:val="00DD5A83"/>
    <w:rsid w:val="00E04F00"/>
    <w:rsid w:val="00E13A4B"/>
    <w:rsid w:val="00E2267F"/>
    <w:rsid w:val="00E22D96"/>
    <w:rsid w:val="00E253A7"/>
    <w:rsid w:val="00E530D4"/>
    <w:rsid w:val="00E6034C"/>
    <w:rsid w:val="00E62569"/>
    <w:rsid w:val="00E6606B"/>
    <w:rsid w:val="00E70D06"/>
    <w:rsid w:val="00E725BD"/>
    <w:rsid w:val="00E72D3C"/>
    <w:rsid w:val="00E80686"/>
    <w:rsid w:val="00E843AA"/>
    <w:rsid w:val="00EB748B"/>
    <w:rsid w:val="00ED49A8"/>
    <w:rsid w:val="00EE1E8F"/>
    <w:rsid w:val="00EE474F"/>
    <w:rsid w:val="00EE7E10"/>
    <w:rsid w:val="00EF1512"/>
    <w:rsid w:val="00EF5E7C"/>
    <w:rsid w:val="00F05665"/>
    <w:rsid w:val="00F21CD9"/>
    <w:rsid w:val="00F3548A"/>
    <w:rsid w:val="00F37F26"/>
    <w:rsid w:val="00F464AF"/>
    <w:rsid w:val="00F64622"/>
    <w:rsid w:val="00F741D1"/>
    <w:rsid w:val="00F76C7D"/>
    <w:rsid w:val="00FE387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591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C6359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0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D190A"/>
    <w:rPr>
      <w:rFonts w:cs="Times New Roman"/>
    </w:rPr>
  </w:style>
  <w:style w:type="paragraph" w:styleId="a7">
    <w:name w:val="footer"/>
    <w:basedOn w:val="a"/>
    <w:link w:val="a8"/>
    <w:uiPriority w:val="99"/>
    <w:rsid w:val="000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D190A"/>
    <w:rPr>
      <w:rFonts w:cs="Times New Roman"/>
    </w:rPr>
  </w:style>
  <w:style w:type="paragraph" w:styleId="a9">
    <w:name w:val="List Paragraph"/>
    <w:basedOn w:val="a"/>
    <w:uiPriority w:val="99"/>
    <w:qFormat/>
    <w:rsid w:val="00933DB9"/>
    <w:pPr>
      <w:ind w:left="720"/>
    </w:pPr>
  </w:style>
  <w:style w:type="paragraph" w:styleId="aa">
    <w:name w:val="Balloon Text"/>
    <w:basedOn w:val="a"/>
    <w:link w:val="ab"/>
    <w:uiPriority w:val="99"/>
    <w:semiHidden/>
    <w:rsid w:val="00323E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22D9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pple-converted-space">
    <w:name w:val="apple-converted-space"/>
    <w:uiPriority w:val="99"/>
    <w:rsid w:val="00EF1512"/>
    <w:rPr>
      <w:rFonts w:cs="Times New Roman"/>
    </w:rPr>
  </w:style>
  <w:style w:type="character" w:styleId="ac">
    <w:name w:val="page number"/>
    <w:uiPriority w:val="99"/>
    <w:rsid w:val="00B869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1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RT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jurist</cp:lastModifiedBy>
  <cp:revision>26</cp:revision>
  <cp:lastPrinted>2016-07-29T13:02:00Z</cp:lastPrinted>
  <dcterms:created xsi:type="dcterms:W3CDTF">2015-07-10T07:55:00Z</dcterms:created>
  <dcterms:modified xsi:type="dcterms:W3CDTF">2018-09-20T08:24:00Z</dcterms:modified>
</cp:coreProperties>
</file>