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7" w:rsidRDefault="00972B37" w:rsidP="00F76C7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Утверждено </w:t>
      </w:r>
    </w:p>
    <w:p w:rsidR="00972B37" w:rsidRDefault="00972B37" w:rsidP="00056F3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Татарстанского регионального </w:t>
      </w:r>
    </w:p>
    <w:p w:rsidR="00972B37" w:rsidRDefault="00972B37" w:rsidP="00056F3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отделения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общественной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«Ассоциация юристов России» </w:t>
      </w:r>
    </w:p>
    <w:p w:rsidR="00972B37" w:rsidRDefault="00972B37" w:rsidP="00056F3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от 20 мая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(в редакции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Совета от 14.07.2015, от 29.07.2016)</w:t>
      </w: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1B1AD1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:rsidR="00972B37" w:rsidRPr="001B1AD1" w:rsidRDefault="00972B37" w:rsidP="001B1AD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о юридической премии</w:t>
      </w:r>
    </w:p>
    <w:p w:rsidR="00972B37" w:rsidRPr="001B1AD1" w:rsidRDefault="00972B37" w:rsidP="001B1AD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Республики Татарстан «Юрист года»</w:t>
      </w: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056F35" w:rsidRDefault="00972B37" w:rsidP="00112965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smartTag w:uri="urn:schemas-microsoft-com:office:smarttags" w:element="place">
        <w:r w:rsidRPr="00056F35">
          <w:rPr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056F35">
          <w:rPr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056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1.1.Юридическая премия Республики Татарстан «Юрист года» (далее – Премия) учреждена Советом Татарстанского регионального отделения Общероссийской общественной организации «Ассоциация юристов России» и является признанием заслуг высококвалифицированных юристов Республики Татарстан.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1.2.Премия учреждается с целью повышения статуса и престижа профессии юриста, уровня профессионализма в сообществе юристов, выявления специалистов высокой квалификации, формирования правовой культуры.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1.3.Премия присуждается гражданам Российской Федерации, проживающим и осуществляющим свою профессиональную деятельность на территории Республики Татарстан. 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1.4.Премия присуждается Советом Татарстанского регионального отделения Общероссийской общественной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«Ассоциация юристов России» (д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алее – Совет).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1.5.В каждой номинации премия присуждается одному соискателю.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1.6.Премия вручается один раз в год и  не присуждается ее лауреатам повторно.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1.7.Премия состоит из д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иплома и знака отличия «Юрист года».</w:t>
      </w:r>
      <w:bookmarkStart w:id="1" w:name="sub_1200"/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1.8.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 соискание Премии могут выдвигаться лица, имеющие высшее юридическое образование, осуществляющие социально значимую деятельность в области защиты прав человека  и гражданина, юридической науки, юридического образования, правотворчества, а также в иных сферах юридической деятельности Республики Татарстан (Приложение №1).</w:t>
      </w:r>
    </w:p>
    <w:p w:rsidR="00972B37" w:rsidRPr="00F05665" w:rsidRDefault="00972B37" w:rsidP="00E530D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1.9. Основными критериями присуждения Премии  являются:</w:t>
      </w:r>
    </w:p>
    <w:p w:rsidR="00972B37" w:rsidRPr="00F05665" w:rsidRDefault="00972B37" w:rsidP="00A6545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значительный вклад в укрепление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аконности и правопорядка, защита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прав и законных интересов граждан, развитие юридической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правотворчества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просвещения в Республике Татарстан;</w:t>
      </w:r>
    </w:p>
    <w:p w:rsidR="00972B37" w:rsidRPr="00F05665" w:rsidRDefault="00972B37" w:rsidP="00A6545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общественная значимость заслуг в области юриспруденции;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деятельности, отмеченного Татарстанским региональным отделением Общероссийской общественной организации «Ассоциация юристов России».</w:t>
      </w:r>
    </w:p>
    <w:p w:rsidR="00972B37" w:rsidRPr="00F05665" w:rsidRDefault="00972B37" w:rsidP="007B43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1.10.Ежегодно присуждается одна премия в каждой из номинаций:</w:t>
      </w: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«Правовое просвещение»;</w:t>
      </w:r>
    </w:p>
    <w:p w:rsidR="00972B37" w:rsidRPr="00F05665" w:rsidRDefault="00972B37" w:rsidP="007B43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«Правосудие»;</w:t>
      </w:r>
    </w:p>
    <w:p w:rsidR="00972B37" w:rsidRPr="00F05665" w:rsidRDefault="00972B37" w:rsidP="005100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«За преданность юридической профессии»;</w:t>
      </w:r>
    </w:p>
    <w:p w:rsidR="00972B37" w:rsidRPr="00F05665" w:rsidRDefault="00972B37" w:rsidP="005100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«За оказание бесплатной юридической помощи»;</w:t>
      </w:r>
    </w:p>
    <w:p w:rsidR="00972B37" w:rsidRPr="00F05665" w:rsidRDefault="00972B37" w:rsidP="00BB5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«Защита прав и свобод человека и гражданина».</w:t>
      </w:r>
    </w:p>
    <w:p w:rsidR="00972B37" w:rsidRPr="00F05665" w:rsidRDefault="00972B37" w:rsidP="00BB5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FE3876" w:rsidRDefault="00972B37" w:rsidP="007B434D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8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E3876">
        <w:rPr>
          <w:rFonts w:ascii="Times New Roman" w:hAnsi="Times New Roman" w:cs="Times New Roman"/>
          <w:b/>
          <w:color w:val="000000"/>
          <w:sz w:val="28"/>
          <w:szCs w:val="28"/>
        </w:rPr>
        <w:t>. Порядок рассмотрения кандидатур, выдвинутых на соискание премии «Юрист года» Республики Татарстан</w:t>
      </w:r>
    </w:p>
    <w:p w:rsidR="00972B37" w:rsidRPr="00F05665" w:rsidRDefault="00972B37" w:rsidP="007B434D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2.1.Право выдвигать кандидатуры на соискание Премии имеют государственные и негосударственные организации, общественные объединения Республики Татарстан, члены Совета Татарстанского  регионального отделения Общероссийской общественной организации «Ассоциация юристов России».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2.2.Сроки подачи представлений на соискателей премии и прилаг</w:t>
      </w:r>
      <w:r>
        <w:rPr>
          <w:rFonts w:ascii="Times New Roman" w:hAnsi="Times New Roman" w:cs="Times New Roman"/>
          <w:color w:val="000000"/>
          <w:sz w:val="28"/>
          <w:szCs w:val="28"/>
        </w:rPr>
        <w:t>аемых к ним материалов обнародую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тся через средства массовой информации, в том числе на официальном сайте Татарстанского регионального отделения Общероссийской общественной организации «Ассоциация юристов России» </w:t>
      </w:r>
      <w:r w:rsidRPr="006E7E4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6E7E4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E7E4C">
          <w:rPr>
            <w:rStyle w:val="Hyperlink"/>
            <w:rFonts w:ascii="Times New Roman" w:hAnsi="Times New Roman"/>
            <w:color w:val="auto"/>
            <w:sz w:val="28"/>
            <w:szCs w:val="28"/>
          </w:rPr>
          <w:t>.alrf16.ru</w:t>
        </w:r>
      </w:hyperlink>
      <w:r w:rsidRPr="006E7E4C">
        <w:rPr>
          <w:rFonts w:ascii="Times New Roman" w:hAnsi="Times New Roman" w:cs="Times New Roman"/>
          <w:sz w:val="28"/>
          <w:szCs w:val="28"/>
        </w:rPr>
        <w:t>)</w:t>
      </w:r>
      <w:r w:rsidRPr="006E7E4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Этот срок устанавливается не менее двух месяцев со дня публикации.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2.3.Представление на выдвижение кандидата на соискание Премии и прилагаемые к ним материалы направляются в Аппарат  Татарстанского регионального отделения Общероссийской общественной организации «Ассоциация юристов России».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2.4.Государственные и негосударственные организации, общественные объединения Республики Татарстан, члены Совета Татарстанского регионального отделения Общероссийской общественной организации «Ассоциация юристов России», выдвигающие кандидатуру на соискание Премии, представляют письменное представление, содержащее анкетные сведения о кандидате, информацию о заслугах и основаниях для выдвижения (Приложение №2)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исьменное заявление соискателя  о согласии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 выдвижение кандидатуры в соискатели Премии  (Приложение №3); согласие на обработку персональных да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(Приложение №4); фотографию 4 х 6; копию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паспорта; 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книжки (включа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я незаполненные страницы); копию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диплома о высшем образовании и (или) диплом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а о присуждении ученой степени; копия билета члена Ассоциации юристов России (кроме соискателей премии в номинации «За преданность юридической профессии»).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2.5.Аппарат Татарстанского регионального отделения Общероссийской общественной организации «Ассоциация юристов России» оценивает представленную информацию на соответствие требованиям, предъявляемым к кандидатам  на соискание Премии.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2.6.Представление на соискание Премии и прилагаемые к нему материалы, поданные с нарушением требований, предъявляемым к кандидатам на соискание Премии, возвращаются субъектам, уполномоченным 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 с настоящим Положением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выдвигать кандидатуры на присуждение Премии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 отмеченные нарушения.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2.7.Представления на соискателей Премии и прилагаемые к ним материалы, объединенные в список соискателей по каждой номинации, направляются Аппаратом Татарстанского регионального отделения непосредственно в Совет Татарстанского регионального отделения Общероссийской общественной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«Ассоциация юристов России» для рассмотрения вопроса о присуждении Премии.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2.8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.Заседание Совета считается правомочным, если на нем присутствует не менее двух третей членов Совета.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голосования определяется Советом.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2.9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.Председатель Совета оглашает результаты предварительного  рассмотрения Аппаратом Татарстанского регионального отделения  Общероссийской общественной организации «Ассоциация Юристов России» представлений на соискателей Премии и прилагаемых к ним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номинации.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2.10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.Обсуждение указанных представлений и материалов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номинации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открыто, путем свободного обмена мнениями. Право на выступление имеет каждый член Совета. </w:t>
      </w:r>
    </w:p>
    <w:p w:rsidR="00972B37" w:rsidRPr="00F05665" w:rsidRDefault="00972B37" w:rsidP="00A6545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2.11.Премия присуждается соискателю, получившему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двух третей голосов членов Совета, присутствующих на заседании. Если по результатам голосования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число соискателей, получивших не менее двух третей голосов, окажется больше,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 Премия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по кандидатурам таких соискателей проводится второй тур голосования. По результатам второго тура голосования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Премия присуждается соискателю, получившему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наибольшее число голосов членов Совета, присутствующих на заседании, по отношению к другим соискателям.</w:t>
      </w:r>
    </w:p>
    <w:p w:rsidR="00972B37" w:rsidRDefault="00972B37" w:rsidP="00443AF5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.Решение Совета оформляется протоколом, который подписывается председателем Совета и секретарем Совета.</w:t>
      </w:r>
      <w:bookmarkEnd w:id="1"/>
    </w:p>
    <w:p w:rsidR="00972B37" w:rsidRDefault="00972B37" w:rsidP="00443AF5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443A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AF5">
        <w:rPr>
          <w:rFonts w:ascii="Times New Roman" w:hAnsi="Times New Roman" w:cs="Times New Roman"/>
          <w:b/>
          <w:color w:val="000000"/>
          <w:sz w:val="28"/>
          <w:szCs w:val="28"/>
        </w:rPr>
        <w:t>Ш. Порядок вручения юридической премии  Республики Татарстан «Юрист года</w:t>
      </w:r>
    </w:p>
    <w:p w:rsidR="00972B37" w:rsidRPr="00443AF5" w:rsidRDefault="00972B37" w:rsidP="00443A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3.1.Церемония вручения Премии проводится в торжественной обстановке с участием руководителей и представителей органов законодательной, исполнительной и судебной властей Республики Татарстан, представителей юридического сообщества Республики Татарстан, а также представителей государственных и негосударственных организаций, выдвинувших кандидатов на соискание Премии.</w:t>
      </w:r>
    </w:p>
    <w:p w:rsidR="00972B37" w:rsidRPr="00F05665" w:rsidRDefault="00972B37" w:rsidP="00A6545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3.2.Председатель Татарстанского регионального отделения общероссийской общественной организации «Ассоциация юристов России» или лицо по его поручению  вручает лауреатам Премии диплом Премии «Юрист года»  и знак отличия «Юрист года».</w:t>
      </w:r>
    </w:p>
    <w:sectPr w:rsidR="00972B37" w:rsidRPr="00F05665" w:rsidSect="00344EF6">
      <w:footerReference w:type="even" r:id="rId8"/>
      <w:footerReference w:type="default" r:id="rId9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37" w:rsidRDefault="00972B37" w:rsidP="000D190A">
      <w:pPr>
        <w:spacing w:after="0" w:line="240" w:lineRule="auto"/>
      </w:pPr>
      <w:r>
        <w:separator/>
      </w:r>
    </w:p>
  </w:endnote>
  <w:endnote w:type="continuationSeparator" w:id="0">
    <w:p w:rsidR="00972B37" w:rsidRDefault="00972B37" w:rsidP="000D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37" w:rsidRDefault="00972B37" w:rsidP="00344EF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72B37" w:rsidRDefault="00972B37" w:rsidP="00B869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37" w:rsidRDefault="00972B37" w:rsidP="00344EF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972B37" w:rsidRDefault="00972B37" w:rsidP="00B869DC">
    <w:pPr>
      <w:pStyle w:val="Footer"/>
      <w:ind w:right="360"/>
      <w:jc w:val="center"/>
    </w:pPr>
  </w:p>
  <w:p w:rsidR="00972B37" w:rsidRDefault="00972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37" w:rsidRDefault="00972B37" w:rsidP="000D190A">
      <w:pPr>
        <w:spacing w:after="0" w:line="240" w:lineRule="auto"/>
      </w:pPr>
      <w:r>
        <w:separator/>
      </w:r>
    </w:p>
  </w:footnote>
  <w:footnote w:type="continuationSeparator" w:id="0">
    <w:p w:rsidR="00972B37" w:rsidRDefault="00972B37" w:rsidP="000D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BBC"/>
    <w:multiLevelType w:val="multilevel"/>
    <w:tmpl w:val="4A807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D1E1D9C"/>
    <w:multiLevelType w:val="hybridMultilevel"/>
    <w:tmpl w:val="5D2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A3F4A"/>
    <w:multiLevelType w:val="multilevel"/>
    <w:tmpl w:val="C9765A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bCs w:val="0"/>
      </w:rPr>
    </w:lvl>
  </w:abstractNum>
  <w:abstractNum w:abstractNumId="3">
    <w:nsid w:val="34BD7620"/>
    <w:multiLevelType w:val="multilevel"/>
    <w:tmpl w:val="EDD21DA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bCs w:val="0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bCs w:val="0"/>
      </w:rPr>
    </w:lvl>
  </w:abstractNum>
  <w:abstractNum w:abstractNumId="4">
    <w:nsid w:val="35B758B3"/>
    <w:multiLevelType w:val="hybridMultilevel"/>
    <w:tmpl w:val="829AD440"/>
    <w:lvl w:ilvl="0" w:tplc="3876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3060"/>
    <w:multiLevelType w:val="multilevel"/>
    <w:tmpl w:val="27F675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CEF6469"/>
    <w:multiLevelType w:val="multilevel"/>
    <w:tmpl w:val="C67AC988"/>
    <w:lvl w:ilvl="0">
      <w:start w:val="2"/>
      <w:numFmt w:val="decimal"/>
      <w:lvlText w:val="%1.0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7">
    <w:nsid w:val="41133844"/>
    <w:multiLevelType w:val="hybridMultilevel"/>
    <w:tmpl w:val="727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82C4F"/>
    <w:multiLevelType w:val="multilevel"/>
    <w:tmpl w:val="C67AC988"/>
    <w:lvl w:ilvl="0">
      <w:start w:val="2"/>
      <w:numFmt w:val="decimal"/>
      <w:lvlText w:val="%1.0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9">
    <w:nsid w:val="52443DCC"/>
    <w:multiLevelType w:val="hybridMultilevel"/>
    <w:tmpl w:val="D78EDF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584F"/>
    <w:multiLevelType w:val="hybridMultilevel"/>
    <w:tmpl w:val="0A2A4CAC"/>
    <w:lvl w:ilvl="0" w:tplc="3876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463E"/>
    <w:multiLevelType w:val="multilevel"/>
    <w:tmpl w:val="EB501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12">
    <w:nsid w:val="5658385A"/>
    <w:multiLevelType w:val="hybridMultilevel"/>
    <w:tmpl w:val="20884F90"/>
    <w:lvl w:ilvl="0" w:tplc="A7F26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317DF"/>
    <w:multiLevelType w:val="hybridMultilevel"/>
    <w:tmpl w:val="D20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D00878"/>
    <w:multiLevelType w:val="multilevel"/>
    <w:tmpl w:val="36DE6E1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5">
    <w:nsid w:val="65DC7FD5"/>
    <w:multiLevelType w:val="multilevel"/>
    <w:tmpl w:val="D50E08E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color w:val="FF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bCs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bCs w:val="0"/>
        <w:color w:val="FF0000"/>
      </w:rPr>
    </w:lvl>
  </w:abstractNum>
  <w:abstractNum w:abstractNumId="16">
    <w:nsid w:val="669F3ED2"/>
    <w:multiLevelType w:val="hybridMultilevel"/>
    <w:tmpl w:val="720C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F5F60"/>
    <w:multiLevelType w:val="hybridMultilevel"/>
    <w:tmpl w:val="535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64BCB"/>
    <w:multiLevelType w:val="hybridMultilevel"/>
    <w:tmpl w:val="14685F7A"/>
    <w:lvl w:ilvl="0" w:tplc="E638A12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F92C7E"/>
    <w:multiLevelType w:val="hybridMultilevel"/>
    <w:tmpl w:val="2CA87810"/>
    <w:lvl w:ilvl="0" w:tplc="65501BD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91"/>
    <w:rsid w:val="00013202"/>
    <w:rsid w:val="00044C33"/>
    <w:rsid w:val="00056F35"/>
    <w:rsid w:val="00092153"/>
    <w:rsid w:val="000A7B3D"/>
    <w:rsid w:val="000B7613"/>
    <w:rsid w:val="000D0402"/>
    <w:rsid w:val="000D190A"/>
    <w:rsid w:val="000F2736"/>
    <w:rsid w:val="00112965"/>
    <w:rsid w:val="00131A14"/>
    <w:rsid w:val="0015727B"/>
    <w:rsid w:val="00163A4C"/>
    <w:rsid w:val="001778DF"/>
    <w:rsid w:val="00186BC2"/>
    <w:rsid w:val="001A1D4F"/>
    <w:rsid w:val="001B1AD1"/>
    <w:rsid w:val="001B29D3"/>
    <w:rsid w:val="001E1255"/>
    <w:rsid w:val="001E616D"/>
    <w:rsid w:val="001F380F"/>
    <w:rsid w:val="00202DBF"/>
    <w:rsid w:val="00205BCB"/>
    <w:rsid w:val="00217C93"/>
    <w:rsid w:val="002229C1"/>
    <w:rsid w:val="002351FC"/>
    <w:rsid w:val="00236636"/>
    <w:rsid w:val="0023712B"/>
    <w:rsid w:val="00241526"/>
    <w:rsid w:val="00261584"/>
    <w:rsid w:val="002A5042"/>
    <w:rsid w:val="002C1D88"/>
    <w:rsid w:val="002C6FF3"/>
    <w:rsid w:val="002D6C3B"/>
    <w:rsid w:val="00310DD8"/>
    <w:rsid w:val="00316FCF"/>
    <w:rsid w:val="00323EDC"/>
    <w:rsid w:val="00330D25"/>
    <w:rsid w:val="0033288F"/>
    <w:rsid w:val="003433EB"/>
    <w:rsid w:val="00344EF6"/>
    <w:rsid w:val="00362BF8"/>
    <w:rsid w:val="00375678"/>
    <w:rsid w:val="003842EC"/>
    <w:rsid w:val="0039213F"/>
    <w:rsid w:val="00394F09"/>
    <w:rsid w:val="0039541A"/>
    <w:rsid w:val="003A54D0"/>
    <w:rsid w:val="003D4462"/>
    <w:rsid w:val="00404B52"/>
    <w:rsid w:val="00406052"/>
    <w:rsid w:val="004200F5"/>
    <w:rsid w:val="00441CD0"/>
    <w:rsid w:val="00443AF5"/>
    <w:rsid w:val="00474B2E"/>
    <w:rsid w:val="00480307"/>
    <w:rsid w:val="004B6190"/>
    <w:rsid w:val="004C3927"/>
    <w:rsid w:val="004C5528"/>
    <w:rsid w:val="004E523E"/>
    <w:rsid w:val="004E73C2"/>
    <w:rsid w:val="00502379"/>
    <w:rsid w:val="00510000"/>
    <w:rsid w:val="005136BA"/>
    <w:rsid w:val="00546F16"/>
    <w:rsid w:val="00563100"/>
    <w:rsid w:val="005927F8"/>
    <w:rsid w:val="00592C0F"/>
    <w:rsid w:val="005A729C"/>
    <w:rsid w:val="005B3BE2"/>
    <w:rsid w:val="005C1748"/>
    <w:rsid w:val="005C55F6"/>
    <w:rsid w:val="005C6D8E"/>
    <w:rsid w:val="005E10D0"/>
    <w:rsid w:val="005E587E"/>
    <w:rsid w:val="00603CB9"/>
    <w:rsid w:val="0062693B"/>
    <w:rsid w:val="00691406"/>
    <w:rsid w:val="006A05EF"/>
    <w:rsid w:val="006D0120"/>
    <w:rsid w:val="006E7E4C"/>
    <w:rsid w:val="006F7AD6"/>
    <w:rsid w:val="007139D9"/>
    <w:rsid w:val="00766742"/>
    <w:rsid w:val="00775C62"/>
    <w:rsid w:val="007B434D"/>
    <w:rsid w:val="007B7CAF"/>
    <w:rsid w:val="007C452A"/>
    <w:rsid w:val="007C7982"/>
    <w:rsid w:val="007D6F69"/>
    <w:rsid w:val="007E3D5C"/>
    <w:rsid w:val="007E42B5"/>
    <w:rsid w:val="007F745B"/>
    <w:rsid w:val="00802A1C"/>
    <w:rsid w:val="0080547F"/>
    <w:rsid w:val="008250DC"/>
    <w:rsid w:val="00845AC0"/>
    <w:rsid w:val="00862C93"/>
    <w:rsid w:val="008811A2"/>
    <w:rsid w:val="008F1289"/>
    <w:rsid w:val="008F7C8F"/>
    <w:rsid w:val="0091537F"/>
    <w:rsid w:val="00922B5A"/>
    <w:rsid w:val="00927333"/>
    <w:rsid w:val="00933D8B"/>
    <w:rsid w:val="00933DB9"/>
    <w:rsid w:val="00970639"/>
    <w:rsid w:val="00972B37"/>
    <w:rsid w:val="009D28BE"/>
    <w:rsid w:val="009E0A71"/>
    <w:rsid w:val="009E274D"/>
    <w:rsid w:val="00A22F35"/>
    <w:rsid w:val="00A313EF"/>
    <w:rsid w:val="00A3694B"/>
    <w:rsid w:val="00A65456"/>
    <w:rsid w:val="00AC21BB"/>
    <w:rsid w:val="00AC3880"/>
    <w:rsid w:val="00AD6313"/>
    <w:rsid w:val="00AD67EF"/>
    <w:rsid w:val="00AE3033"/>
    <w:rsid w:val="00B04BF1"/>
    <w:rsid w:val="00B10D14"/>
    <w:rsid w:val="00B50A08"/>
    <w:rsid w:val="00B56821"/>
    <w:rsid w:val="00B64CEF"/>
    <w:rsid w:val="00B774FF"/>
    <w:rsid w:val="00B84CF0"/>
    <w:rsid w:val="00B869DC"/>
    <w:rsid w:val="00BA667D"/>
    <w:rsid w:val="00BB07DD"/>
    <w:rsid w:val="00BB3D28"/>
    <w:rsid w:val="00BB5309"/>
    <w:rsid w:val="00BB6A0E"/>
    <w:rsid w:val="00BC365A"/>
    <w:rsid w:val="00BF1A5B"/>
    <w:rsid w:val="00BF6562"/>
    <w:rsid w:val="00C00FF0"/>
    <w:rsid w:val="00C108AB"/>
    <w:rsid w:val="00C11637"/>
    <w:rsid w:val="00C124FD"/>
    <w:rsid w:val="00C16F61"/>
    <w:rsid w:val="00C20237"/>
    <w:rsid w:val="00C248F1"/>
    <w:rsid w:val="00C24A92"/>
    <w:rsid w:val="00C26AA5"/>
    <w:rsid w:val="00C27FAE"/>
    <w:rsid w:val="00C47582"/>
    <w:rsid w:val="00C47B10"/>
    <w:rsid w:val="00C5425A"/>
    <w:rsid w:val="00C63591"/>
    <w:rsid w:val="00C667CD"/>
    <w:rsid w:val="00C7144B"/>
    <w:rsid w:val="00C761E1"/>
    <w:rsid w:val="00C84C74"/>
    <w:rsid w:val="00C929F8"/>
    <w:rsid w:val="00CB0498"/>
    <w:rsid w:val="00CB61C1"/>
    <w:rsid w:val="00CC0E63"/>
    <w:rsid w:val="00D1702C"/>
    <w:rsid w:val="00D17CB1"/>
    <w:rsid w:val="00D42A90"/>
    <w:rsid w:val="00D52C19"/>
    <w:rsid w:val="00D56FC2"/>
    <w:rsid w:val="00D675EE"/>
    <w:rsid w:val="00D8135C"/>
    <w:rsid w:val="00DA2A0E"/>
    <w:rsid w:val="00DB155E"/>
    <w:rsid w:val="00DC1879"/>
    <w:rsid w:val="00DC3B08"/>
    <w:rsid w:val="00DC6390"/>
    <w:rsid w:val="00DD5A83"/>
    <w:rsid w:val="00E04F00"/>
    <w:rsid w:val="00E13A4B"/>
    <w:rsid w:val="00E2267F"/>
    <w:rsid w:val="00E22D96"/>
    <w:rsid w:val="00E253A7"/>
    <w:rsid w:val="00E530D4"/>
    <w:rsid w:val="00E6034C"/>
    <w:rsid w:val="00E6606B"/>
    <w:rsid w:val="00E70D06"/>
    <w:rsid w:val="00E725BD"/>
    <w:rsid w:val="00E72D3C"/>
    <w:rsid w:val="00E80686"/>
    <w:rsid w:val="00E843AA"/>
    <w:rsid w:val="00EB748B"/>
    <w:rsid w:val="00ED49A8"/>
    <w:rsid w:val="00EE474F"/>
    <w:rsid w:val="00EE7E10"/>
    <w:rsid w:val="00EF1512"/>
    <w:rsid w:val="00EF5E7C"/>
    <w:rsid w:val="00F05665"/>
    <w:rsid w:val="00F21CD9"/>
    <w:rsid w:val="00F3548A"/>
    <w:rsid w:val="00F37F26"/>
    <w:rsid w:val="00F464AF"/>
    <w:rsid w:val="00F64622"/>
    <w:rsid w:val="00F741D1"/>
    <w:rsid w:val="00F76C7D"/>
    <w:rsid w:val="00FE3876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359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635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9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9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3D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3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D9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F1512"/>
    <w:rPr>
      <w:rFonts w:cs="Times New Roman"/>
    </w:rPr>
  </w:style>
  <w:style w:type="character" w:styleId="PageNumber">
    <w:name w:val="page number"/>
    <w:basedOn w:val="DefaultParagraphFont"/>
    <w:uiPriority w:val="99"/>
    <w:rsid w:val="00B869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rf1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1058</Words>
  <Characters>6034</Characters>
  <Application>Microsoft Office Outlook</Application>
  <DocSecurity>0</DocSecurity>
  <Lines>0</Lines>
  <Paragraphs>0</Paragraphs>
  <ScaleCrop>false</ScaleCrop>
  <Company>MU 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Paimuhin</cp:lastModifiedBy>
  <cp:revision>10</cp:revision>
  <cp:lastPrinted>2016-07-29T13:02:00Z</cp:lastPrinted>
  <dcterms:created xsi:type="dcterms:W3CDTF">2015-07-10T07:55:00Z</dcterms:created>
  <dcterms:modified xsi:type="dcterms:W3CDTF">2016-08-01T07:52:00Z</dcterms:modified>
</cp:coreProperties>
</file>